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23" w:rsidRPr="00166664" w:rsidRDefault="003D1223" w:rsidP="003D122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66664">
        <w:rPr>
          <w:rFonts w:ascii="Arial" w:hAnsi="Arial" w:cs="Arial"/>
          <w:sz w:val="22"/>
          <w:szCs w:val="22"/>
        </w:rPr>
        <w:t xml:space="preserve">The National Registration and Accreditation Scheme for Health Professions (the National Scheme) was implemented through the adoption of the </w:t>
      </w:r>
      <w:r w:rsidRPr="00166664">
        <w:rPr>
          <w:rFonts w:ascii="Arial" w:hAnsi="Arial" w:cs="Arial"/>
          <w:i/>
          <w:sz w:val="22"/>
          <w:szCs w:val="22"/>
        </w:rPr>
        <w:t>Health Practitioner Regulation National Law</w:t>
      </w:r>
      <w:r w:rsidRPr="00166664">
        <w:rPr>
          <w:rFonts w:ascii="Arial" w:hAnsi="Arial" w:cs="Arial"/>
          <w:sz w:val="22"/>
          <w:szCs w:val="22"/>
        </w:rPr>
        <w:t xml:space="preserve"> (National Law) by all states and territories in 2009 and 2010. The National Law regulates </w:t>
      </w:r>
      <w:r w:rsidR="00C0415A">
        <w:rPr>
          <w:rFonts w:ascii="Arial" w:hAnsi="Arial" w:cs="Arial"/>
          <w:sz w:val="22"/>
          <w:szCs w:val="22"/>
        </w:rPr>
        <w:t xml:space="preserve">the following </w:t>
      </w:r>
      <w:r w:rsidRPr="00166664">
        <w:rPr>
          <w:rFonts w:ascii="Arial" w:hAnsi="Arial" w:cs="Arial"/>
          <w:sz w:val="22"/>
          <w:szCs w:val="22"/>
        </w:rPr>
        <w:t>14 health professions</w:t>
      </w:r>
      <w:r w:rsidR="00C0415A">
        <w:rPr>
          <w:rFonts w:ascii="Arial" w:hAnsi="Arial" w:cs="Arial"/>
          <w:sz w:val="22"/>
          <w:szCs w:val="22"/>
        </w:rPr>
        <w:t>:</w:t>
      </w:r>
      <w:r w:rsidRPr="00166664">
        <w:rPr>
          <w:rFonts w:ascii="Arial" w:hAnsi="Arial" w:cs="Arial"/>
          <w:sz w:val="22"/>
          <w:szCs w:val="22"/>
        </w:rPr>
        <w:t xml:space="preserve"> </w:t>
      </w:r>
      <w:r w:rsidR="00C0415A">
        <w:rPr>
          <w:rFonts w:ascii="Arial" w:hAnsi="Arial" w:cs="Arial"/>
          <w:sz w:val="22"/>
          <w:szCs w:val="22"/>
        </w:rPr>
        <w:t>Aboriginal and Torres Strait Islander health practice, Chinese medicine, chiropractic, dental, medical, medical radiation practice, nursing and midwifery, occupational therapy, optometry, osteopathy, pharmacy, physiotherapy, podiatry and psychology</w:t>
      </w:r>
      <w:r w:rsidRPr="00166664">
        <w:rPr>
          <w:rFonts w:ascii="Arial" w:hAnsi="Arial" w:cs="Arial"/>
          <w:sz w:val="22"/>
          <w:szCs w:val="22"/>
        </w:rPr>
        <w:t xml:space="preserve">. Queensland is the host jurisdiction for the National Law under the </w:t>
      </w:r>
      <w:r w:rsidRPr="00166664">
        <w:rPr>
          <w:rFonts w:ascii="Arial" w:hAnsi="Arial" w:cs="Arial"/>
          <w:i/>
          <w:sz w:val="22"/>
          <w:szCs w:val="22"/>
        </w:rPr>
        <w:t>Health Practitioner Regulation National Law Act 2009</w:t>
      </w:r>
      <w:r w:rsidRPr="00166664">
        <w:rPr>
          <w:rFonts w:ascii="Arial" w:hAnsi="Arial" w:cs="Arial"/>
          <w:sz w:val="22"/>
          <w:szCs w:val="22"/>
        </w:rPr>
        <w:t xml:space="preserve"> (Qld).</w:t>
      </w:r>
    </w:p>
    <w:p w:rsidR="003D1223" w:rsidRPr="00E0686C" w:rsidRDefault="003D1223" w:rsidP="003D122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66664">
        <w:rPr>
          <w:rFonts w:ascii="Arial" w:hAnsi="Arial" w:cs="Arial"/>
          <w:sz w:val="22"/>
          <w:szCs w:val="22"/>
        </w:rPr>
        <w:t>The</w:t>
      </w:r>
      <w:r w:rsidR="000C08BF">
        <w:rPr>
          <w:rFonts w:ascii="Arial" w:hAnsi="Arial" w:cs="Arial"/>
          <w:sz w:val="22"/>
          <w:szCs w:val="22"/>
        </w:rPr>
        <w:t xml:space="preserve"> </w:t>
      </w:r>
      <w:r w:rsidR="000C08BF" w:rsidRPr="00166664">
        <w:rPr>
          <w:rFonts w:ascii="Arial" w:hAnsi="Arial" w:cs="Arial"/>
          <w:sz w:val="22"/>
          <w:szCs w:val="22"/>
        </w:rPr>
        <w:t>Health Practitioner Regulation National Law and Other Legislation Amendment Bill 2017</w:t>
      </w:r>
      <w:r w:rsidRPr="00166664">
        <w:rPr>
          <w:rFonts w:ascii="Arial" w:hAnsi="Arial" w:cs="Arial"/>
          <w:sz w:val="22"/>
          <w:szCs w:val="22"/>
        </w:rPr>
        <w:t xml:space="preserve"> </w:t>
      </w:r>
      <w:r w:rsidR="000C08BF">
        <w:rPr>
          <w:rFonts w:ascii="Arial" w:hAnsi="Arial" w:cs="Arial"/>
          <w:sz w:val="22"/>
          <w:szCs w:val="22"/>
        </w:rPr>
        <w:t xml:space="preserve">(the </w:t>
      </w:r>
      <w:r w:rsidRPr="00166664">
        <w:rPr>
          <w:rFonts w:ascii="Arial" w:hAnsi="Arial" w:cs="Arial"/>
          <w:sz w:val="22"/>
          <w:szCs w:val="22"/>
        </w:rPr>
        <w:t>Bill</w:t>
      </w:r>
      <w:r w:rsidR="000C08BF">
        <w:rPr>
          <w:rFonts w:ascii="Arial" w:hAnsi="Arial" w:cs="Arial"/>
          <w:sz w:val="22"/>
          <w:szCs w:val="22"/>
        </w:rPr>
        <w:t>)</w:t>
      </w:r>
      <w:r w:rsidRPr="00166664">
        <w:rPr>
          <w:rFonts w:ascii="Arial" w:hAnsi="Arial" w:cs="Arial"/>
          <w:sz w:val="22"/>
          <w:szCs w:val="22"/>
        </w:rPr>
        <w:t xml:space="preserve"> includes the following key reforms:</w:t>
      </w:r>
    </w:p>
    <w:p w:rsidR="00E0686C" w:rsidRPr="00E0686C" w:rsidRDefault="00E0686C" w:rsidP="000C08BF">
      <w:pPr>
        <w:keepLines/>
        <w:numPr>
          <w:ilvl w:val="1"/>
          <w:numId w:val="3"/>
        </w:numPr>
        <w:tabs>
          <w:tab w:val="clear" w:pos="1443"/>
          <w:tab w:val="num" w:pos="709"/>
        </w:tabs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E0686C">
        <w:rPr>
          <w:rFonts w:ascii="Arial" w:hAnsi="Arial" w:cs="Arial"/>
          <w:sz w:val="22"/>
          <w:szCs w:val="22"/>
        </w:rPr>
        <w:t>national regulation of paramedics, including the establishment of a Paramedicine Board of Australia</w:t>
      </w:r>
      <w:r w:rsidR="00685159">
        <w:rPr>
          <w:rFonts w:ascii="Arial" w:hAnsi="Arial" w:cs="Arial"/>
          <w:sz w:val="22"/>
          <w:szCs w:val="22"/>
        </w:rPr>
        <w:t>;</w:t>
      </w:r>
    </w:p>
    <w:p w:rsidR="00E0686C" w:rsidRPr="00E0686C" w:rsidRDefault="00540DB9" w:rsidP="000C08BF">
      <w:pPr>
        <w:keepLines/>
        <w:numPr>
          <w:ilvl w:val="1"/>
          <w:numId w:val="3"/>
        </w:numPr>
        <w:tabs>
          <w:tab w:val="clear" w:pos="1443"/>
          <w:tab w:val="num" w:pos="709"/>
        </w:tabs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enabling</w:t>
      </w:r>
      <w:r w:rsidRPr="00E0686C">
        <w:rPr>
          <w:rFonts w:ascii="Arial" w:hAnsi="Arial" w:cs="Arial"/>
          <w:sz w:val="22"/>
          <w:szCs w:val="22"/>
        </w:rPr>
        <w:t xml:space="preserve"> the COAG Health Council to make changes to the structure of National Boards by regulation following consultation</w:t>
      </w:r>
      <w:r w:rsidR="00685159">
        <w:rPr>
          <w:rFonts w:ascii="Arial" w:hAnsi="Arial" w:cs="Arial"/>
          <w:sz w:val="22"/>
          <w:szCs w:val="22"/>
        </w:rPr>
        <w:t>;</w:t>
      </w:r>
    </w:p>
    <w:p w:rsidR="00E0686C" w:rsidRPr="00E0686C" w:rsidRDefault="00E0686C" w:rsidP="000C08BF">
      <w:pPr>
        <w:keepLines/>
        <w:numPr>
          <w:ilvl w:val="1"/>
          <w:numId w:val="3"/>
        </w:numPr>
        <w:tabs>
          <w:tab w:val="clear" w:pos="1443"/>
          <w:tab w:val="num" w:pos="709"/>
        </w:tabs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E0686C">
        <w:rPr>
          <w:rFonts w:ascii="Arial" w:hAnsi="Arial" w:cs="Arial"/>
          <w:sz w:val="22"/>
          <w:szCs w:val="22"/>
        </w:rPr>
        <w:t>recognition of nursing and midwifery as two separate professions, rather than a single profession, with the professions continuing to be regulated by the Nursing and Midwifery Board of Australia</w:t>
      </w:r>
      <w:r w:rsidR="00685159">
        <w:rPr>
          <w:rFonts w:ascii="Arial" w:hAnsi="Arial" w:cs="Arial"/>
          <w:sz w:val="22"/>
          <w:szCs w:val="22"/>
        </w:rPr>
        <w:t>;</w:t>
      </w:r>
    </w:p>
    <w:p w:rsidR="00E0686C" w:rsidRPr="00E0686C" w:rsidRDefault="00E0686C" w:rsidP="000C08BF">
      <w:pPr>
        <w:keepLines/>
        <w:numPr>
          <w:ilvl w:val="1"/>
          <w:numId w:val="3"/>
        </w:numPr>
        <w:tabs>
          <w:tab w:val="clear" w:pos="1443"/>
          <w:tab w:val="num" w:pos="709"/>
        </w:tabs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E0686C">
        <w:rPr>
          <w:rFonts w:ascii="Arial" w:hAnsi="Arial" w:cs="Arial"/>
          <w:sz w:val="22"/>
          <w:szCs w:val="22"/>
        </w:rPr>
        <w:t>improvements to the complaints (notifications) management, disciplinary and enforcement powers of National Boards to strengthen public protection and ensure fairness for complainants (notifiers) and practitioners</w:t>
      </w:r>
      <w:r w:rsidR="00685159">
        <w:rPr>
          <w:rFonts w:ascii="Arial" w:hAnsi="Arial" w:cs="Arial"/>
          <w:sz w:val="22"/>
          <w:szCs w:val="22"/>
        </w:rPr>
        <w:t>;</w:t>
      </w:r>
      <w:r w:rsidRPr="00E0686C">
        <w:rPr>
          <w:rFonts w:ascii="Arial" w:hAnsi="Arial" w:cs="Arial"/>
          <w:sz w:val="22"/>
          <w:szCs w:val="22"/>
        </w:rPr>
        <w:t xml:space="preserve"> and</w:t>
      </w:r>
    </w:p>
    <w:p w:rsidR="00E0686C" w:rsidRPr="00E0686C" w:rsidRDefault="00E0686C" w:rsidP="000C08BF">
      <w:pPr>
        <w:keepLines/>
        <w:numPr>
          <w:ilvl w:val="1"/>
          <w:numId w:val="3"/>
        </w:numPr>
        <w:tabs>
          <w:tab w:val="clear" w:pos="1443"/>
          <w:tab w:val="num" w:pos="709"/>
        </w:tabs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E0686C">
        <w:rPr>
          <w:rFonts w:ascii="Arial" w:hAnsi="Arial" w:cs="Arial"/>
          <w:sz w:val="22"/>
          <w:szCs w:val="22"/>
        </w:rPr>
        <w:t>technical amendments to improve the efficiency and effectiveness of the National Law.</w:t>
      </w:r>
    </w:p>
    <w:p w:rsidR="00E0686C" w:rsidRPr="00E0686C" w:rsidRDefault="00E0686C" w:rsidP="0049788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0686C">
        <w:rPr>
          <w:rFonts w:ascii="Arial" w:hAnsi="Arial" w:cs="Arial"/>
          <w:sz w:val="22"/>
          <w:szCs w:val="22"/>
        </w:rPr>
        <w:t xml:space="preserve">he Bill also includes </w:t>
      </w:r>
      <w:r>
        <w:rPr>
          <w:rFonts w:ascii="Arial" w:hAnsi="Arial" w:cs="Arial"/>
          <w:sz w:val="22"/>
          <w:szCs w:val="22"/>
        </w:rPr>
        <w:t xml:space="preserve">consequential amendments to </w:t>
      </w:r>
      <w:r w:rsidRPr="00E0686C">
        <w:rPr>
          <w:rFonts w:ascii="Arial" w:hAnsi="Arial" w:cs="Arial"/>
          <w:sz w:val="22"/>
          <w:szCs w:val="22"/>
        </w:rPr>
        <w:t>Queensland</w:t>
      </w:r>
      <w:r>
        <w:rPr>
          <w:rFonts w:ascii="Arial" w:hAnsi="Arial" w:cs="Arial"/>
          <w:sz w:val="22"/>
          <w:szCs w:val="22"/>
        </w:rPr>
        <w:t xml:space="preserve"> legislation</w:t>
      </w:r>
      <w:r w:rsidRPr="00E0686C">
        <w:rPr>
          <w:rFonts w:ascii="Arial" w:hAnsi="Arial" w:cs="Arial"/>
          <w:sz w:val="22"/>
          <w:szCs w:val="22"/>
        </w:rPr>
        <w:t xml:space="preserve">. The most significant amendments are </w:t>
      </w:r>
      <w:r>
        <w:rPr>
          <w:rFonts w:ascii="Arial" w:hAnsi="Arial" w:cs="Arial"/>
          <w:sz w:val="22"/>
          <w:szCs w:val="22"/>
        </w:rPr>
        <w:t xml:space="preserve">changes </w:t>
      </w:r>
      <w:r w:rsidRPr="00E0686C">
        <w:rPr>
          <w:rFonts w:ascii="Arial" w:hAnsi="Arial" w:cs="Arial"/>
          <w:sz w:val="22"/>
          <w:szCs w:val="22"/>
        </w:rPr>
        <w:t xml:space="preserve">to the </w:t>
      </w:r>
      <w:r w:rsidRPr="00E0686C">
        <w:rPr>
          <w:rFonts w:ascii="Arial" w:hAnsi="Arial" w:cs="Arial"/>
          <w:i/>
          <w:sz w:val="22"/>
          <w:szCs w:val="22"/>
        </w:rPr>
        <w:t>Health Ombudsman Act 2013</w:t>
      </w:r>
      <w:r w:rsidRPr="00E0686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to align it with changes made </w:t>
      </w:r>
      <w:r w:rsidRPr="00E0686C">
        <w:rPr>
          <w:rFonts w:ascii="Arial" w:hAnsi="Arial" w:cs="Arial"/>
          <w:sz w:val="22"/>
          <w:szCs w:val="22"/>
        </w:rPr>
        <w:t xml:space="preserve">to the National Law. </w:t>
      </w:r>
      <w:r w:rsidR="00D85D6A">
        <w:rPr>
          <w:rFonts w:ascii="Arial" w:hAnsi="Arial" w:cs="Arial"/>
          <w:sz w:val="22"/>
          <w:szCs w:val="22"/>
        </w:rPr>
        <w:t>In addition</w:t>
      </w:r>
      <w:r w:rsidRPr="00E0686C">
        <w:rPr>
          <w:rFonts w:ascii="Arial" w:hAnsi="Arial" w:cs="Arial"/>
          <w:sz w:val="22"/>
          <w:szCs w:val="22"/>
        </w:rPr>
        <w:t xml:space="preserve">, a small number of the amendments to the </w:t>
      </w:r>
      <w:r w:rsidRPr="00E0686C">
        <w:rPr>
          <w:rFonts w:ascii="Arial" w:hAnsi="Arial" w:cs="Arial"/>
          <w:i/>
          <w:sz w:val="22"/>
          <w:szCs w:val="22"/>
        </w:rPr>
        <w:t>Health Ombudsman Act 2013</w:t>
      </w:r>
      <w:r>
        <w:rPr>
          <w:rFonts w:ascii="Arial" w:hAnsi="Arial" w:cs="Arial"/>
          <w:sz w:val="22"/>
          <w:szCs w:val="22"/>
        </w:rPr>
        <w:t xml:space="preserve"> included in the Bill </w:t>
      </w:r>
      <w:r w:rsidRPr="00E0686C">
        <w:rPr>
          <w:rFonts w:ascii="Arial" w:hAnsi="Arial" w:cs="Arial"/>
          <w:sz w:val="22"/>
          <w:szCs w:val="22"/>
        </w:rPr>
        <w:t xml:space="preserve">were requested by the Health Ombudsman as part of the </w:t>
      </w:r>
      <w:r w:rsidRPr="00E0686C">
        <w:rPr>
          <w:rFonts w:ascii="Arial" w:hAnsi="Arial" w:cs="Arial"/>
          <w:i/>
          <w:sz w:val="22"/>
          <w:szCs w:val="22"/>
        </w:rPr>
        <w:t>Inquiry into the performance of the Queensland Health Ombudsman’s functions pursuant to section 179 of the Health Ombudsman Act 2013</w:t>
      </w:r>
      <w:r w:rsidRPr="00E0686C">
        <w:rPr>
          <w:rFonts w:ascii="Arial" w:hAnsi="Arial" w:cs="Arial"/>
          <w:sz w:val="22"/>
          <w:szCs w:val="22"/>
        </w:rPr>
        <w:t xml:space="preserve"> by the Health, Communities, Disability Services and Domestic and Family Violence Prevention Committee. </w:t>
      </w:r>
    </w:p>
    <w:p w:rsidR="003D1223" w:rsidRPr="00166664" w:rsidRDefault="003D1223" w:rsidP="003D122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66664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166664">
        <w:rPr>
          <w:rFonts w:ascii="Arial" w:hAnsi="Arial" w:cs="Arial"/>
          <w:sz w:val="22"/>
          <w:szCs w:val="22"/>
        </w:rPr>
        <w:t>the</w:t>
      </w:r>
      <w:r w:rsidR="000C08BF">
        <w:rPr>
          <w:rFonts w:ascii="Arial" w:hAnsi="Arial" w:cs="Arial"/>
          <w:sz w:val="22"/>
          <w:szCs w:val="22"/>
        </w:rPr>
        <w:t xml:space="preserve"> introduction of the</w:t>
      </w:r>
      <w:r w:rsidRPr="00166664">
        <w:rPr>
          <w:rFonts w:ascii="Arial" w:hAnsi="Arial" w:cs="Arial"/>
          <w:sz w:val="22"/>
          <w:szCs w:val="22"/>
        </w:rPr>
        <w:t xml:space="preserve"> Health Practitioner Regulation National Law and Other Legislation Amendment Bill 2017 into the Legislative Assembly</w:t>
      </w:r>
      <w:r>
        <w:rPr>
          <w:rFonts w:ascii="Arial" w:hAnsi="Arial" w:cs="Arial"/>
          <w:sz w:val="22"/>
          <w:szCs w:val="22"/>
        </w:rPr>
        <w:t>.</w:t>
      </w:r>
    </w:p>
    <w:p w:rsidR="003D1223" w:rsidRPr="00C07656" w:rsidRDefault="003D1223" w:rsidP="000C08BF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3D1223" w:rsidRDefault="00736A7C" w:rsidP="003D1223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3D1223" w:rsidRPr="005D1E85">
          <w:rPr>
            <w:rStyle w:val="Hyperlink"/>
            <w:rFonts w:ascii="Arial" w:hAnsi="Arial" w:cs="Arial"/>
            <w:sz w:val="22"/>
            <w:szCs w:val="22"/>
          </w:rPr>
          <w:t>Health Practitioner Regulation National Law and Other Legislation Amendment Bill 2017</w:t>
        </w:r>
      </w:hyperlink>
    </w:p>
    <w:p w:rsidR="00241E2A" w:rsidRPr="00275228" w:rsidRDefault="00736A7C" w:rsidP="0027522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C068D6" w:rsidRPr="005D1E85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241E2A" w:rsidRPr="00275228" w:rsidSect="00275228">
      <w:headerReference w:type="first" r:id="rId9"/>
      <w:pgSz w:w="11907" w:h="16840" w:code="9"/>
      <w:pgMar w:top="1134" w:right="1134" w:bottom="1134" w:left="1134" w:header="851" w:footer="567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28" w:rsidRDefault="00197628" w:rsidP="003D1223">
      <w:r>
        <w:separator/>
      </w:r>
    </w:p>
  </w:endnote>
  <w:endnote w:type="continuationSeparator" w:id="0">
    <w:p w:rsidR="00197628" w:rsidRDefault="00197628" w:rsidP="003D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28" w:rsidRDefault="00197628" w:rsidP="003D1223">
      <w:r>
        <w:separator/>
      </w:r>
    </w:p>
  </w:footnote>
  <w:footnote w:type="continuationSeparator" w:id="0">
    <w:p w:rsidR="00197628" w:rsidRDefault="00197628" w:rsidP="003D1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40" w:rsidRPr="003E3AAE" w:rsidRDefault="003D1223" w:rsidP="00AF7540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2512"/>
        <w:tab w:val="center" w:pos="4819"/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3E3AAE">
      <w:rPr>
        <w:rFonts w:ascii="Arial" w:hAnsi="Arial" w:cs="Arial"/>
        <w:b/>
        <w:sz w:val="28"/>
        <w:szCs w:val="22"/>
      </w:rPr>
      <w:t>Queensland Government</w:t>
    </w:r>
  </w:p>
  <w:p w:rsidR="00AF7540" w:rsidRPr="00D75134" w:rsidRDefault="00AF7540" w:rsidP="00AF7540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AF7540" w:rsidRPr="001E209B" w:rsidRDefault="003D1223" w:rsidP="00AF7540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540DB9">
      <w:rPr>
        <w:rFonts w:ascii="Arial" w:hAnsi="Arial" w:cs="Arial"/>
        <w:b/>
        <w:sz w:val="22"/>
        <w:szCs w:val="22"/>
      </w:rPr>
      <w:t>June</w:t>
    </w:r>
    <w:r>
      <w:rPr>
        <w:rFonts w:ascii="Arial" w:hAnsi="Arial" w:cs="Arial"/>
        <w:b/>
        <w:sz w:val="22"/>
        <w:szCs w:val="22"/>
      </w:rPr>
      <w:t xml:space="preserve"> 2017</w:t>
    </w:r>
  </w:p>
  <w:p w:rsidR="003D1223" w:rsidRPr="003D1223" w:rsidRDefault="003D1223" w:rsidP="00AF754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D1223">
      <w:rPr>
        <w:rFonts w:ascii="Arial" w:hAnsi="Arial" w:cs="Arial"/>
        <w:b/>
        <w:sz w:val="22"/>
        <w:szCs w:val="22"/>
        <w:u w:val="single"/>
      </w:rPr>
      <w:t>Health Practitioner Regulation National Law and Other Legislation Amendment Bill 2017</w:t>
    </w:r>
  </w:p>
  <w:p w:rsidR="00AF7540" w:rsidRPr="003D1223" w:rsidRDefault="003D1223" w:rsidP="00AF754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D1223"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:rsidR="00AF7540" w:rsidRPr="003E3AAE" w:rsidRDefault="00AF7540" w:rsidP="00AF7540">
    <w:pPr>
      <w:pStyle w:val="Header"/>
      <w:pBdr>
        <w:bottom w:val="single" w:sz="4" w:space="1" w:color="auto"/>
      </w:pBdr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44A"/>
    <w:multiLevelType w:val="hybridMultilevel"/>
    <w:tmpl w:val="F6688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F238D"/>
    <w:multiLevelType w:val="hybridMultilevel"/>
    <w:tmpl w:val="FB101A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755660"/>
    <w:multiLevelType w:val="hybridMultilevel"/>
    <w:tmpl w:val="338041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646A26"/>
    <w:multiLevelType w:val="hybridMultilevel"/>
    <w:tmpl w:val="1AE88B3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F4CCE0D8">
      <w:start w:val="1"/>
      <w:numFmt w:val="bullet"/>
      <w:lvlText w:val="­"/>
      <w:lvlJc w:val="left"/>
      <w:pPr>
        <w:tabs>
          <w:tab w:val="num" w:pos="2160"/>
        </w:tabs>
        <w:ind w:left="2160" w:hanging="180"/>
      </w:pPr>
      <w:rPr>
        <w:rFonts w:ascii="Courier New" w:hAnsi="Courier New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23"/>
    <w:rsid w:val="00064AB3"/>
    <w:rsid w:val="0008396A"/>
    <w:rsid w:val="0009389C"/>
    <w:rsid w:val="000A5349"/>
    <w:rsid w:val="000C08BF"/>
    <w:rsid w:val="00116282"/>
    <w:rsid w:val="00197628"/>
    <w:rsid w:val="00241E2A"/>
    <w:rsid w:val="00275228"/>
    <w:rsid w:val="002D2683"/>
    <w:rsid w:val="00311F47"/>
    <w:rsid w:val="003D1223"/>
    <w:rsid w:val="00497882"/>
    <w:rsid w:val="00527FAB"/>
    <w:rsid w:val="00540DB9"/>
    <w:rsid w:val="00591F8C"/>
    <w:rsid w:val="005B13AB"/>
    <w:rsid w:val="005C7866"/>
    <w:rsid w:val="005D1E85"/>
    <w:rsid w:val="005D56AC"/>
    <w:rsid w:val="005F5BF7"/>
    <w:rsid w:val="00611F6D"/>
    <w:rsid w:val="00685159"/>
    <w:rsid w:val="006D4D0C"/>
    <w:rsid w:val="00736A7C"/>
    <w:rsid w:val="008B70F4"/>
    <w:rsid w:val="009208F6"/>
    <w:rsid w:val="0098686A"/>
    <w:rsid w:val="00A0669F"/>
    <w:rsid w:val="00A21BDC"/>
    <w:rsid w:val="00AF7540"/>
    <w:rsid w:val="00B46E6D"/>
    <w:rsid w:val="00C0415A"/>
    <w:rsid w:val="00C068D6"/>
    <w:rsid w:val="00D85D6A"/>
    <w:rsid w:val="00DB50C6"/>
    <w:rsid w:val="00E0686C"/>
    <w:rsid w:val="00F068E9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223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1223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link w:val="Header"/>
    <w:uiPriority w:val="99"/>
    <w:rsid w:val="003D1223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3D122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D1223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3D1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F6D"/>
    <w:rPr>
      <w:rFonts w:ascii="Tahoma" w:eastAsia="Times New Roman" w:hAnsi="Tahoma" w:cs="Tahoma"/>
      <w:color w:val="000000"/>
      <w:sz w:val="16"/>
      <w:szCs w:val="16"/>
      <w:lang w:eastAsia="en-AU"/>
    </w:rPr>
  </w:style>
  <w:style w:type="character" w:styleId="Hyperlink">
    <w:name w:val="Hyperlink"/>
    <w:uiPriority w:val="99"/>
    <w:unhideWhenUsed/>
    <w:rsid w:val="005D1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2100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2435</CharactersWithSpaces>
  <SharedDoc>false</SharedDoc>
  <HyperlinkBase>https://www.cabinet.qld.gov.au/documents/2017/Jun/PracRegBill/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2017-09-07T00:54:00Z</cp:lastPrinted>
  <dcterms:created xsi:type="dcterms:W3CDTF">2018-01-30T01:35:00Z</dcterms:created>
  <dcterms:modified xsi:type="dcterms:W3CDTF">2018-03-06T01:50:00Z</dcterms:modified>
  <cp:category>Health,Medical,Legislation</cp:category>
</cp:coreProperties>
</file>